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9" w:rsidRPr="00D943C9" w:rsidRDefault="00D943C9" w:rsidP="00D943C9">
      <w:pPr>
        <w:spacing w:after="0" w:line="360" w:lineRule="auto"/>
        <w:ind w:left="5670"/>
        <w:rPr>
          <w:rFonts w:eastAsia="Calibri"/>
          <w:color w:val="auto"/>
          <w:szCs w:val="28"/>
          <w:lang w:val="uk-UA" w:eastAsia="ru-RU"/>
        </w:rPr>
      </w:pPr>
      <w:r w:rsidRPr="00D943C9">
        <w:rPr>
          <w:rFonts w:eastAsia="Calibri"/>
          <w:color w:val="auto"/>
          <w:szCs w:val="28"/>
          <w:lang w:val="uk-UA" w:eastAsia="ru-RU"/>
        </w:rPr>
        <w:t>ЗАТВЕРДЖЕНО</w:t>
      </w:r>
    </w:p>
    <w:p w:rsidR="00D943C9" w:rsidRPr="00D943C9" w:rsidRDefault="00D943C9" w:rsidP="00D943C9">
      <w:pPr>
        <w:spacing w:after="0" w:line="240" w:lineRule="auto"/>
        <w:ind w:left="5670"/>
        <w:rPr>
          <w:rFonts w:eastAsia="Calibri"/>
          <w:color w:val="auto"/>
          <w:szCs w:val="28"/>
          <w:lang w:val="uk-UA" w:eastAsia="ru-RU"/>
        </w:rPr>
      </w:pPr>
      <w:r w:rsidRPr="00D943C9">
        <w:rPr>
          <w:rFonts w:eastAsia="Calibri"/>
          <w:color w:val="auto"/>
          <w:szCs w:val="28"/>
          <w:lang w:val="uk-UA" w:eastAsia="ru-RU"/>
        </w:rPr>
        <w:t>Рішення виконавчого комітету</w:t>
      </w:r>
    </w:p>
    <w:p w:rsidR="00D943C9" w:rsidRPr="00D943C9" w:rsidRDefault="00D943C9" w:rsidP="00D943C9">
      <w:pPr>
        <w:spacing w:after="0" w:line="240" w:lineRule="auto"/>
        <w:ind w:left="5670"/>
        <w:rPr>
          <w:rFonts w:eastAsia="Calibri"/>
          <w:color w:val="auto"/>
          <w:szCs w:val="28"/>
          <w:lang w:val="uk-UA" w:eastAsia="ru-RU"/>
        </w:rPr>
      </w:pPr>
      <w:r w:rsidRPr="00D943C9">
        <w:rPr>
          <w:rFonts w:eastAsia="Calibri"/>
          <w:color w:val="auto"/>
          <w:szCs w:val="28"/>
          <w:lang w:val="uk-UA" w:eastAsia="ru-RU"/>
        </w:rPr>
        <w:t xml:space="preserve">Новгород-Сіверської міської </w:t>
      </w:r>
    </w:p>
    <w:p w:rsidR="00D943C9" w:rsidRPr="00D943C9" w:rsidRDefault="00D943C9" w:rsidP="00D943C9">
      <w:pPr>
        <w:spacing w:after="0" w:line="360" w:lineRule="auto"/>
        <w:ind w:left="5670"/>
        <w:rPr>
          <w:rFonts w:eastAsia="Calibri"/>
          <w:color w:val="auto"/>
          <w:szCs w:val="28"/>
          <w:lang w:val="uk-UA" w:eastAsia="ru-RU"/>
        </w:rPr>
      </w:pPr>
      <w:r w:rsidRPr="00D943C9">
        <w:rPr>
          <w:rFonts w:eastAsia="Calibri"/>
          <w:color w:val="auto"/>
          <w:szCs w:val="28"/>
          <w:lang w:val="uk-UA" w:eastAsia="ru-RU"/>
        </w:rPr>
        <w:t>ради Чернігівської області</w:t>
      </w:r>
    </w:p>
    <w:p w:rsidR="00D943C9" w:rsidRPr="00D943C9" w:rsidRDefault="007F57B2" w:rsidP="00D943C9">
      <w:pPr>
        <w:spacing w:after="0" w:line="240" w:lineRule="auto"/>
        <w:ind w:left="5670"/>
        <w:rPr>
          <w:rFonts w:eastAsia="Calibri"/>
          <w:color w:val="auto"/>
          <w:szCs w:val="28"/>
          <w:lang w:val="uk-UA" w:eastAsia="ru-RU"/>
        </w:rPr>
      </w:pPr>
      <w:r>
        <w:rPr>
          <w:rFonts w:eastAsia="Calibri"/>
          <w:color w:val="auto"/>
          <w:szCs w:val="28"/>
          <w:lang w:val="uk-UA" w:eastAsia="ru-RU"/>
        </w:rPr>
        <w:t>02</w:t>
      </w:r>
      <w:r w:rsidR="00D943C9" w:rsidRPr="00D943C9">
        <w:rPr>
          <w:rFonts w:eastAsia="Calibri"/>
          <w:color w:val="auto"/>
          <w:szCs w:val="28"/>
          <w:lang w:val="uk-UA" w:eastAsia="ru-RU"/>
        </w:rPr>
        <w:t xml:space="preserve"> вересня 2025 року № </w:t>
      </w:r>
      <w:r>
        <w:rPr>
          <w:rFonts w:eastAsia="Calibri"/>
          <w:color w:val="auto"/>
          <w:szCs w:val="28"/>
          <w:lang w:val="uk-UA" w:eastAsia="ru-RU"/>
        </w:rPr>
        <w:t>266</w:t>
      </w:r>
      <w:bookmarkStart w:id="0" w:name="_GoBack"/>
      <w:bookmarkEnd w:id="0"/>
    </w:p>
    <w:p w:rsidR="00D943C9" w:rsidRPr="00D943C9" w:rsidRDefault="00D943C9" w:rsidP="00D943C9">
      <w:pPr>
        <w:spacing w:after="0" w:line="240" w:lineRule="auto"/>
        <w:ind w:left="5670"/>
        <w:rPr>
          <w:rFonts w:eastAsia="Calibri"/>
          <w:color w:val="auto"/>
          <w:szCs w:val="28"/>
          <w:lang w:val="uk-UA" w:eastAsia="ru-RU"/>
        </w:rPr>
      </w:pP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 xml:space="preserve">Середньостроковий план публічних інвестицій </w:t>
      </w: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>Новгород-Сіверської міської територіальної громади на 2026-2028 роки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>Загальна частина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Середньостроковий план публічних інвестицій Новгород-Сіверської міської територіальної громади на 2026-2028 роки (далі - середньостроковий план) розроблено відповідно до абзацу другого частини третьої статті 33¹ Бюджетного кодексу України та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 лютого 2025 року № 294.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суспільства публічних інвестиційних проектах (далі - проект) та програмах публічних інвестицій (далі - програма).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Середньостроковий план визначає: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наскрізні стратегічні цілі здійснення публічних інвестицій;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пріоритетні галузі (сектори) для публічного інвестування;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основні напрями публічного інвестування, в тому числі за діючими проектами та програмами, цільові показники цих напрямів у розрізі сфер державної політики, регіонів і відповідний орієнтовний розподіл коштів за рахунок різних джерел фінансування;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підсектори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галузей (секторів) для публічного інвестування.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Сфера дії середньострокового плану включає публічні інвестиції, що спрямовані на реалізацію проектів та програм.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>Описова частина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Середньостроковий план розроблено відділом інвестицій та комунального майна Новгород-Сіверської міської ради Чернігівської області на підставі наданих пропозицій відповідальними за галузі (сектори) для здійснення публічного інвестування по Новгород-Сіверській міській територіальній громаді відповідно до цілей і завдань, визначених Стратегією сталого розвитку Новгород-Сіверської міської територіальної громади на 2021-2029 роки.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lastRenderedPageBreak/>
        <w:t xml:space="preserve">Середньостроковий план публічних інвестицій Новгород-Сіверської міської територіальної громади на 2026-2028 роки схвалений місцевою інвестиційною радою Новгород-Сіверської міської ради Чернігівської області.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  <w:t>Наскрізні стратегічні цілі здійснення публічних інвестицій</w:t>
      </w: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Наскрізними стратегічними цілями здійснення публічних інвестицій (далі - наскрізні стратегічні цілі) є цілі, що мають міжгалузевий (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міжсекторальний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) характер, відповідають пріоритетам розвитку громади,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strike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На 2026-2028 роки наскрізними стратегічними цілями є ефективна підтримка економічного розвитку громади; забезпечення доступу мешканців до різноманітних суспільних послуг високої якості та підтримка для найбільш потребуючих категорій мешканців; забезпечення високих стандартів життя на території громади.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Наскрізні стратегічні цілі мають ключове значення для досягнення сталого розвитку і соціальної справедливості в громаді. Їх реалізація передбачає раціональне використання енергоресурсів, впровадження енергоефективних технологій, адаптацію інфраструктури до нових викликів та захисту навколишнього природного середовища, врахування принципів рівності,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безбар’єрності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  <w:t>Пріоритетні галузі (сектори) для публічного інвестування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Пріоритетні галузі (сектори) для публічного інвестування, що містяться в середньостроковому плані, є ключовими для громади і саме на них спрямовуватимуться публічні інвестиції на середньостроковий період.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Пріоритетні галузі (сектори) для публічного інвестування були відібрані та впорядковані на період дії середньострокового плану, враховуючи потреби, пріоритети і спроможності громади, а також вимоги Бюджетного кодексу України щодо спрямування не менше 70 відсотків обсягу публічних інвестицій на продовження (завершення) реалізації розпочатих проектів та програм.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До пріоритетних галузей (секторів) для публічного інвестування, визначених цим планом, належать: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Освіта і наука;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Муніципальна інфраструктура та послуги;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Культура та інформація;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Довкілля.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З метою досягнення стратегічних цілей розвитку громади та забезпечення реалізації завдань, спрямованих на відновлення та розвиток інфраструктури, стимулювання соціально-економічного розвитку і покращення якості життя громадян, протягом 2026-2028 років середньостроковим планом пропонується визначити 3 ключові сектори (галузі) для публічного інвестування.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lastRenderedPageBreak/>
        <w:t xml:space="preserve">Сектор (галузь) </w:t>
      </w: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>«Освіта і наука»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спрямований на безперешкодний доступ до якісної освіти (придбання шкільних  автобусів); облаштування безпечних умов у закладах, що надають загальну середню освіту (протипожежний захист); забезпечення закладів загальної середньої освіти засобами навчання та обладнанням у межах впровадження реформи «Нова українська школа»; забезпечення доступу до якісного та безпечного харчування в закладах освіти шляхом розвитку сучасної інфраструктури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їдалень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(харчоблоків).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Сектор (галузь) </w:t>
      </w: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>«Муніципальна інфраструктура та послуги»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 спрямований на  розвиток громадських просторів і соціальної інфраструктури для  підвищення рівня соціальної згуртованості; модернізацію та розвиток соціальної інфраструктури громади.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Сектор (галузь) </w:t>
      </w: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>«Культура та інформація»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спрямований на забезпечення енергоефективності та безпеки комунальних закладів культури.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Сектор (галузь) </w:t>
      </w:r>
      <w:r w:rsidRPr="00D943C9">
        <w:rPr>
          <w:rFonts w:eastAsia="Calibri"/>
          <w:b/>
          <w:bCs/>
          <w:color w:val="auto"/>
          <w:kern w:val="2"/>
          <w:szCs w:val="28"/>
          <w:lang w:val="uk-UA"/>
          <w14:ligatures w14:val="standardContextual"/>
        </w:rPr>
        <w:t xml:space="preserve">«Довкілля» </w:t>
      </w:r>
      <w:r w:rsidRPr="00D943C9">
        <w:rPr>
          <w:rFonts w:eastAsia="Calibri"/>
          <w:bCs/>
          <w:color w:val="auto"/>
          <w:kern w:val="2"/>
          <w:szCs w:val="28"/>
          <w:lang w:val="uk-UA"/>
          <w14:ligatures w14:val="standardContextual"/>
        </w:rPr>
        <w:t>спрямований на з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абезпечення захисту від шкідливої дії вод населених пунктів, виробничих об’єктів та сільськогосподарських угідь, створення безпечних умов життєдіяльності населення</w:t>
      </w:r>
      <w:r>
        <w:rPr>
          <w:rFonts w:eastAsia="Calibri"/>
          <w:color w:val="auto"/>
          <w:kern w:val="2"/>
          <w:szCs w:val="28"/>
          <w:lang w:val="uk-UA"/>
          <w14:ligatures w14:val="standardContextual"/>
        </w:rPr>
        <w:t>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proofErr w:type="spellStart"/>
      <w:r w:rsidRPr="00D943C9"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  <w:t>Підсектори</w:t>
      </w:r>
      <w:proofErr w:type="spellEnd"/>
      <w:r w:rsidRPr="00D943C9"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  <w:t xml:space="preserve"> галузей (секторів) для публічного інвестування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</w:t>
      </w: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Підсектори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боку громади. Їх визначення дозволяє деталізувати пріоритети та оптимізувати використання бюджетних коштів.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підсектори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, що відображають ключові напрями розвитку, які потребують публічних інвестицій.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Підсектори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є важливими аналітичними одиницями, які сприяють реалізації державних стратегій розвитку та забезпечують впровадження інтегрованого підходу до управління публічними інвестиціями.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Перелік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підсекторів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підсекторів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наведено в додатку 1 до середньострокового плану. Перелік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підсекторів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галузей (секторів) для публічного інвестування та інших напрямів для публічного інвестування - в додатку 2. </w:t>
      </w:r>
    </w:p>
    <w:p w:rsidR="00D943C9" w:rsidRPr="00D943C9" w:rsidRDefault="00D943C9" w:rsidP="00D943C9">
      <w:pPr>
        <w:spacing w:after="0" w:line="240" w:lineRule="auto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jc w:val="center"/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  <w:t>Основні напрями публічного інвестування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Основні напрями публічного інвестування узгоджуються із завданнями Стратегії сталого розвитку Новгород-Сіверської міської територіальної громади на 2021-2029 роки та мають найвищий рівень пріоритетності серед інших напрямів відповідної галузі (сектора) для отримання фінансування.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Формування основних напрямів публічного інвестування здійснювалось на основі пропозицій структурних підрозділів, відповідальних за галузі (сектори) для публічного інвестування, з урахуванням завдань, визначених Стратегією сталого розвитку Новгород-Сіверської міської територіальної громади розвитку, а також з урахуванням наявності діючих проектів за відповідними напрямами.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lastRenderedPageBreak/>
        <w:t xml:space="preserve">Відповідальними за галузі (сектори) для здійснення публічного інвестування по Новгород-Сіверській міській територіальній громаді було подано 16 пропозицій до середньострокового плану, що містили 30 напрямів </w:t>
      </w:r>
      <w:r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  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для публічного інвестування, з них: 8 визначено основними та включено в додаток 1 до цього плану, 22 напрями для публічного інвестування відображені в додатку 2.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center"/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  <w:t>Фінансова структура публічних інвестицій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Орієнтовний граничний сукупний обсяг публічних інвестицій на 2026-2028 роки в розрізі джерел фінансового забезпечення та за роками становить: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 w:val="14"/>
          <w:szCs w:val="14"/>
          <w:lang w:val="uk-UA"/>
          <w14:ligatures w14:val="standardContextual"/>
        </w:rPr>
      </w:pPr>
    </w:p>
    <w:p w:rsidR="00D943C9" w:rsidRDefault="00D943C9" w:rsidP="00D943C9">
      <w:pPr>
        <w:spacing w:after="0" w:line="240" w:lineRule="auto"/>
        <w:ind w:firstLine="567"/>
        <w:jc w:val="right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тис. грн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1"/>
        <w:gridCol w:w="1416"/>
        <w:gridCol w:w="1415"/>
        <w:gridCol w:w="1348"/>
        <w:gridCol w:w="1548"/>
      </w:tblGrid>
      <w:tr w:rsidR="007B0DDF" w:rsidTr="007B0DDF">
        <w:tc>
          <w:tcPr>
            <w:tcW w:w="3901" w:type="dxa"/>
          </w:tcPr>
          <w:p w:rsidR="007B0DDF" w:rsidRPr="00D943C9" w:rsidRDefault="007B0DDF" w:rsidP="007B0DDF">
            <w:pPr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Показник</w:t>
            </w:r>
          </w:p>
        </w:tc>
        <w:tc>
          <w:tcPr>
            <w:tcW w:w="1416" w:type="dxa"/>
          </w:tcPr>
          <w:p w:rsidR="007B0DDF" w:rsidRPr="00D943C9" w:rsidRDefault="007B0DDF" w:rsidP="007B0DDF">
            <w:pPr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2026 рік (прогноз)</w:t>
            </w:r>
          </w:p>
        </w:tc>
        <w:tc>
          <w:tcPr>
            <w:tcW w:w="1415" w:type="dxa"/>
          </w:tcPr>
          <w:p w:rsidR="007B0DDF" w:rsidRPr="00D943C9" w:rsidRDefault="007B0DDF" w:rsidP="007B0DDF">
            <w:pPr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2027 рік (прогноз)</w:t>
            </w:r>
          </w:p>
        </w:tc>
        <w:tc>
          <w:tcPr>
            <w:tcW w:w="1348" w:type="dxa"/>
          </w:tcPr>
          <w:p w:rsidR="007B0DDF" w:rsidRPr="00D943C9" w:rsidRDefault="007B0DDF" w:rsidP="007B0DDF">
            <w:pPr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2028 рік (прогноз)</w:t>
            </w:r>
          </w:p>
        </w:tc>
        <w:tc>
          <w:tcPr>
            <w:tcW w:w="1548" w:type="dxa"/>
          </w:tcPr>
          <w:p w:rsidR="007B0DDF" w:rsidRPr="00D943C9" w:rsidRDefault="007B0DDF" w:rsidP="007B0DDF">
            <w:pPr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Разом 2026-2028 роки (прогноз)</w:t>
            </w:r>
          </w:p>
        </w:tc>
      </w:tr>
      <w:tr w:rsidR="007B0DDF" w:rsidTr="007B0DDF">
        <w:tc>
          <w:tcPr>
            <w:tcW w:w="3901" w:type="dxa"/>
          </w:tcPr>
          <w:p w:rsidR="007B0DDF" w:rsidRPr="00D943C9" w:rsidRDefault="007B0DDF" w:rsidP="007B0DDF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 w:eastAsia="uk-UA"/>
                <w14:ligatures w14:val="standardContextual"/>
              </w:rPr>
              <w:t>Орієнтовний граничний сукупний обсяг публічних інвестицій, у тому числі за рахунок:</w:t>
            </w:r>
          </w:p>
        </w:tc>
        <w:tc>
          <w:tcPr>
            <w:tcW w:w="1416" w:type="dxa"/>
          </w:tcPr>
          <w:p w:rsidR="007B0DDF" w:rsidRPr="007B0DDF" w:rsidRDefault="007B0DDF" w:rsidP="007B0DDF">
            <w:pPr>
              <w:pStyle w:val="aa"/>
              <w:jc w:val="center"/>
              <w:rPr>
                <w:b/>
                <w:lang w:val="uk-UA"/>
              </w:rPr>
            </w:pPr>
            <w:r w:rsidRPr="007B0DDF">
              <w:rPr>
                <w:b/>
                <w:lang w:val="uk-UA"/>
              </w:rPr>
              <w:t>48 948,5</w:t>
            </w:r>
          </w:p>
        </w:tc>
        <w:tc>
          <w:tcPr>
            <w:tcW w:w="1415" w:type="dxa"/>
          </w:tcPr>
          <w:p w:rsidR="007B0DDF" w:rsidRPr="007B0DDF" w:rsidRDefault="007B0DDF" w:rsidP="007B0DDF">
            <w:pPr>
              <w:pStyle w:val="aa"/>
              <w:jc w:val="center"/>
              <w:rPr>
                <w:b/>
                <w:lang w:val="uk-UA"/>
              </w:rPr>
            </w:pPr>
            <w:r w:rsidRPr="007B0DDF">
              <w:rPr>
                <w:b/>
                <w:lang w:val="uk-UA"/>
              </w:rPr>
              <w:t>21 995,27</w:t>
            </w:r>
          </w:p>
        </w:tc>
        <w:tc>
          <w:tcPr>
            <w:tcW w:w="1348" w:type="dxa"/>
          </w:tcPr>
          <w:p w:rsidR="007B0DDF" w:rsidRPr="007B0DDF" w:rsidRDefault="007B0DDF" w:rsidP="007B0DDF">
            <w:pPr>
              <w:pStyle w:val="aa"/>
              <w:jc w:val="center"/>
              <w:rPr>
                <w:b/>
                <w:lang w:val="uk-UA"/>
              </w:rPr>
            </w:pPr>
            <w:r w:rsidRPr="007B0DDF">
              <w:rPr>
                <w:b/>
                <w:lang w:val="uk-UA"/>
              </w:rPr>
              <w:t>28 850,0</w:t>
            </w:r>
          </w:p>
        </w:tc>
        <w:tc>
          <w:tcPr>
            <w:tcW w:w="1548" w:type="dxa"/>
          </w:tcPr>
          <w:p w:rsidR="007B0DDF" w:rsidRPr="007B0DDF" w:rsidRDefault="007B0DDF" w:rsidP="007B0DDF">
            <w:pPr>
              <w:pStyle w:val="aa"/>
              <w:jc w:val="center"/>
              <w:rPr>
                <w:b/>
                <w:lang w:val="uk-UA"/>
              </w:rPr>
            </w:pPr>
            <w:r w:rsidRPr="007B0DDF">
              <w:rPr>
                <w:b/>
                <w:lang w:val="uk-UA"/>
              </w:rPr>
              <w:t>99  793,77</w:t>
            </w:r>
          </w:p>
        </w:tc>
      </w:tr>
      <w:tr w:rsidR="007B0DDF" w:rsidTr="007B0DDF">
        <w:tc>
          <w:tcPr>
            <w:tcW w:w="3901" w:type="dxa"/>
          </w:tcPr>
          <w:p w:rsidR="007B0DDF" w:rsidRPr="00D943C9" w:rsidRDefault="007B0DDF" w:rsidP="007B0DDF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державного бюджету;</w:t>
            </w:r>
          </w:p>
        </w:tc>
        <w:tc>
          <w:tcPr>
            <w:tcW w:w="1416" w:type="dxa"/>
          </w:tcPr>
          <w:p w:rsidR="007B0DDF" w:rsidRDefault="007B0DDF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4 400,0</w:t>
            </w:r>
          </w:p>
        </w:tc>
        <w:tc>
          <w:tcPr>
            <w:tcW w:w="1415" w:type="dxa"/>
          </w:tcPr>
          <w:p w:rsidR="007B0DDF" w:rsidRDefault="007B0DDF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4 400,0</w:t>
            </w:r>
          </w:p>
        </w:tc>
        <w:tc>
          <w:tcPr>
            <w:tcW w:w="1348" w:type="dxa"/>
          </w:tcPr>
          <w:p w:rsidR="007B0DDF" w:rsidRDefault="007B0DDF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4 400,0</w:t>
            </w:r>
          </w:p>
        </w:tc>
        <w:tc>
          <w:tcPr>
            <w:tcW w:w="1548" w:type="dxa"/>
          </w:tcPr>
          <w:p w:rsidR="007B0DDF" w:rsidRDefault="007B0DDF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00,0</w:t>
            </w:r>
          </w:p>
        </w:tc>
      </w:tr>
      <w:tr w:rsidR="007B0DDF" w:rsidTr="007B0DDF">
        <w:tc>
          <w:tcPr>
            <w:tcW w:w="3901" w:type="dxa"/>
          </w:tcPr>
          <w:p w:rsidR="007B0DDF" w:rsidRPr="00D943C9" w:rsidRDefault="007B0DDF" w:rsidP="007B0DDF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коштів, залучених від урядів іноземних країн, міжнародних фінансових організацій;</w:t>
            </w:r>
          </w:p>
        </w:tc>
        <w:tc>
          <w:tcPr>
            <w:tcW w:w="1416" w:type="dxa"/>
          </w:tcPr>
          <w:p w:rsidR="007B0DDF" w:rsidRDefault="007B0DDF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38 948,5</w:t>
            </w:r>
          </w:p>
        </w:tc>
        <w:tc>
          <w:tcPr>
            <w:tcW w:w="1415" w:type="dxa"/>
          </w:tcPr>
          <w:p w:rsidR="007B0DDF" w:rsidRDefault="003776F4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13 745,27</w:t>
            </w:r>
          </w:p>
        </w:tc>
        <w:tc>
          <w:tcPr>
            <w:tcW w:w="1348" w:type="dxa"/>
          </w:tcPr>
          <w:p w:rsidR="007B0DDF" w:rsidRDefault="007B0DDF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20 150,0</w:t>
            </w:r>
          </w:p>
        </w:tc>
        <w:tc>
          <w:tcPr>
            <w:tcW w:w="1548" w:type="dxa"/>
          </w:tcPr>
          <w:p w:rsidR="007B0DDF" w:rsidRDefault="003776F4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72 843,77</w:t>
            </w:r>
          </w:p>
        </w:tc>
      </w:tr>
      <w:tr w:rsidR="007B0DDF" w:rsidTr="007B0DDF">
        <w:tc>
          <w:tcPr>
            <w:tcW w:w="3901" w:type="dxa"/>
          </w:tcPr>
          <w:p w:rsidR="007B0DDF" w:rsidRPr="00D943C9" w:rsidRDefault="007B0DDF" w:rsidP="007B0DDF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 xml:space="preserve">коштів місцевого бюджету </w:t>
            </w:r>
          </w:p>
        </w:tc>
        <w:tc>
          <w:tcPr>
            <w:tcW w:w="1416" w:type="dxa"/>
          </w:tcPr>
          <w:p w:rsidR="007B0DDF" w:rsidRDefault="003776F4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5 600,0</w:t>
            </w:r>
          </w:p>
        </w:tc>
        <w:tc>
          <w:tcPr>
            <w:tcW w:w="1415" w:type="dxa"/>
          </w:tcPr>
          <w:p w:rsidR="007B0DDF" w:rsidRDefault="003776F4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3 850,0</w:t>
            </w:r>
          </w:p>
        </w:tc>
        <w:tc>
          <w:tcPr>
            <w:tcW w:w="1348" w:type="dxa"/>
          </w:tcPr>
          <w:p w:rsidR="007B0DDF" w:rsidRDefault="003776F4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4 300,0</w:t>
            </w:r>
          </w:p>
        </w:tc>
        <w:tc>
          <w:tcPr>
            <w:tcW w:w="1548" w:type="dxa"/>
          </w:tcPr>
          <w:p w:rsidR="007B0DDF" w:rsidRDefault="007B0DDF" w:rsidP="007B0DD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13 750,0</w:t>
            </w:r>
          </w:p>
        </w:tc>
      </w:tr>
    </w:tbl>
    <w:p w:rsidR="007B0DDF" w:rsidRDefault="007B0DDF" w:rsidP="007B0DDF">
      <w:pPr>
        <w:pStyle w:val="aa"/>
        <w:rPr>
          <w:lang w:val="uk-UA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Розподіл орієнтовного граничного сукупного обсягу публічних інвестицій на 2026, 2027, 2028 роки на сектори (галузі) для публічного інвестування в </w:t>
      </w:r>
      <w:r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 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межах доведеного фінансовим управлінням міської ради орієнтовного граничного сукупного обсягу публічних інвестицій на середньостроковий період має таку структуру: 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 w:val="14"/>
          <w:szCs w:val="14"/>
          <w:lang w:val="uk-UA"/>
          <w14:ligatures w14:val="standardContextual"/>
        </w:rPr>
      </w:pPr>
    </w:p>
    <w:p w:rsidR="00D943C9" w:rsidRDefault="00D943C9" w:rsidP="00D943C9">
      <w:pPr>
        <w:spacing w:after="0" w:line="240" w:lineRule="auto"/>
        <w:ind w:firstLine="567"/>
        <w:jc w:val="right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тис. грн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559"/>
        <w:gridCol w:w="1418"/>
        <w:gridCol w:w="2551"/>
      </w:tblGrid>
      <w:tr w:rsidR="007E1595" w:rsidTr="00FD342B">
        <w:tc>
          <w:tcPr>
            <w:tcW w:w="426" w:type="dxa"/>
          </w:tcPr>
          <w:p w:rsidR="007E1595" w:rsidRPr="00D943C9" w:rsidRDefault="007E1595" w:rsidP="00FD342B">
            <w:pPr>
              <w:ind w:left="-105" w:right="-87"/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№</w:t>
            </w:r>
          </w:p>
        </w:tc>
        <w:tc>
          <w:tcPr>
            <w:tcW w:w="2126" w:type="dxa"/>
          </w:tcPr>
          <w:p w:rsidR="007E1595" w:rsidRPr="00D943C9" w:rsidRDefault="007E1595" w:rsidP="007E1595">
            <w:pPr>
              <w:ind w:left="-120" w:right="-102"/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Галузь (сектор)</w:t>
            </w:r>
          </w:p>
        </w:tc>
        <w:tc>
          <w:tcPr>
            <w:tcW w:w="1559" w:type="dxa"/>
          </w:tcPr>
          <w:p w:rsidR="007E1595" w:rsidRPr="00D943C9" w:rsidRDefault="007E1595" w:rsidP="007E1595">
            <w:pPr>
              <w:ind w:left="-120" w:right="-102"/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Граничний розподіл на 2026 рік</w:t>
            </w:r>
          </w:p>
        </w:tc>
        <w:tc>
          <w:tcPr>
            <w:tcW w:w="1559" w:type="dxa"/>
          </w:tcPr>
          <w:p w:rsidR="007E1595" w:rsidRPr="00D943C9" w:rsidRDefault="007E1595" w:rsidP="007E1595">
            <w:pPr>
              <w:ind w:left="-120" w:right="-102"/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Граничний розподіл на 2027 рік</w:t>
            </w:r>
          </w:p>
        </w:tc>
        <w:tc>
          <w:tcPr>
            <w:tcW w:w="1418" w:type="dxa"/>
          </w:tcPr>
          <w:p w:rsidR="007E1595" w:rsidRPr="00D943C9" w:rsidRDefault="007E1595" w:rsidP="007E1595">
            <w:pPr>
              <w:ind w:left="-120" w:right="-102"/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Граничний розподіл на 2028 рік</w:t>
            </w:r>
          </w:p>
        </w:tc>
        <w:tc>
          <w:tcPr>
            <w:tcW w:w="2551" w:type="dxa"/>
          </w:tcPr>
          <w:p w:rsidR="007E1595" w:rsidRPr="00D943C9" w:rsidRDefault="007E1595" w:rsidP="007E1595">
            <w:pPr>
              <w:ind w:left="-120" w:right="-102"/>
              <w:jc w:val="center"/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 xml:space="preserve">Граничний розподіл на </w:t>
            </w:r>
            <w:proofErr w:type="spellStart"/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середньостроко</w:t>
            </w:r>
            <w:proofErr w:type="spellEnd"/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-вий період (разом за 2026-2028 роки)</w:t>
            </w:r>
          </w:p>
        </w:tc>
      </w:tr>
      <w:tr w:rsidR="007E1595" w:rsidTr="00FD342B">
        <w:tc>
          <w:tcPr>
            <w:tcW w:w="426" w:type="dxa"/>
          </w:tcPr>
          <w:p w:rsidR="007E1595" w:rsidRDefault="007E1595" w:rsidP="00FD342B">
            <w:pPr>
              <w:pStyle w:val="aa"/>
              <w:ind w:left="-105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7E1595" w:rsidRPr="00D943C9" w:rsidRDefault="007E1595" w:rsidP="007E1595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 xml:space="preserve">Культура та інформація </w:t>
            </w:r>
          </w:p>
        </w:tc>
        <w:tc>
          <w:tcPr>
            <w:tcW w:w="1559" w:type="dxa"/>
          </w:tcPr>
          <w:p w:rsidR="007E1595" w:rsidRPr="00191AC3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8 000,0</w:t>
            </w:r>
          </w:p>
        </w:tc>
        <w:tc>
          <w:tcPr>
            <w:tcW w:w="1559" w:type="dxa"/>
          </w:tcPr>
          <w:p w:rsidR="007E1595" w:rsidRPr="00191AC3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1 645,27</w:t>
            </w:r>
          </w:p>
        </w:tc>
        <w:tc>
          <w:tcPr>
            <w:tcW w:w="1418" w:type="dxa"/>
          </w:tcPr>
          <w:p w:rsidR="007E1595" w:rsidRPr="00191AC3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1 000,0</w:t>
            </w:r>
          </w:p>
        </w:tc>
        <w:tc>
          <w:tcPr>
            <w:tcW w:w="2551" w:type="dxa"/>
          </w:tcPr>
          <w:p w:rsidR="007E1595" w:rsidRPr="00191AC3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10 645,27</w:t>
            </w:r>
          </w:p>
        </w:tc>
      </w:tr>
      <w:tr w:rsidR="007E1595" w:rsidTr="00FD342B">
        <w:tc>
          <w:tcPr>
            <w:tcW w:w="426" w:type="dxa"/>
          </w:tcPr>
          <w:p w:rsidR="007E1595" w:rsidRDefault="007E1595" w:rsidP="00FD342B">
            <w:pPr>
              <w:pStyle w:val="aa"/>
              <w:ind w:left="-105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7E1595" w:rsidRPr="00D943C9" w:rsidRDefault="007E1595" w:rsidP="007E1595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bCs/>
                <w:iCs/>
                <w:color w:val="auto"/>
                <w:kern w:val="2"/>
                <w:szCs w:val="28"/>
                <w:lang w:val="uk-UA"/>
                <w14:ligatures w14:val="standardContextual"/>
              </w:rPr>
              <w:t>Муніципальна інфраструктура та послуги</w:t>
            </w:r>
          </w:p>
        </w:tc>
        <w:tc>
          <w:tcPr>
            <w:tcW w:w="1559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0</w:t>
            </w:r>
            <w:r>
              <w:rPr>
                <w:lang w:val="uk-UA"/>
              </w:rPr>
              <w:t>00,0</w:t>
            </w:r>
          </w:p>
        </w:tc>
        <w:tc>
          <w:tcPr>
            <w:tcW w:w="1559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12 000,0</w:t>
            </w:r>
          </w:p>
        </w:tc>
        <w:tc>
          <w:tcPr>
            <w:tcW w:w="1418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12 000,0</w:t>
            </w:r>
          </w:p>
        </w:tc>
        <w:tc>
          <w:tcPr>
            <w:tcW w:w="2551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0</w:t>
            </w:r>
            <w:r>
              <w:rPr>
                <w:lang w:val="uk-UA"/>
              </w:rPr>
              <w:t>00,0</w:t>
            </w:r>
          </w:p>
        </w:tc>
      </w:tr>
      <w:tr w:rsidR="007E1595" w:rsidTr="00FD342B">
        <w:tc>
          <w:tcPr>
            <w:tcW w:w="426" w:type="dxa"/>
          </w:tcPr>
          <w:p w:rsidR="007E1595" w:rsidRDefault="007E1595" w:rsidP="00FD342B">
            <w:pPr>
              <w:pStyle w:val="aa"/>
              <w:ind w:left="-105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7E1595" w:rsidRPr="00D943C9" w:rsidRDefault="007E1595" w:rsidP="007E1595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bCs/>
                <w:iCs/>
                <w:color w:val="auto"/>
                <w:kern w:val="2"/>
                <w:szCs w:val="28"/>
                <w:lang w:val="uk-UA"/>
                <w14:ligatures w14:val="standardContextual"/>
              </w:rPr>
              <w:t>Освіта і наука</w:t>
            </w:r>
          </w:p>
        </w:tc>
        <w:tc>
          <w:tcPr>
            <w:tcW w:w="1559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25 7</w:t>
            </w:r>
            <w:r>
              <w:rPr>
                <w:lang w:val="uk-UA"/>
              </w:rPr>
              <w:t>48,5</w:t>
            </w:r>
          </w:p>
        </w:tc>
        <w:tc>
          <w:tcPr>
            <w:tcW w:w="1559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5 650,0</w:t>
            </w:r>
          </w:p>
        </w:tc>
        <w:tc>
          <w:tcPr>
            <w:tcW w:w="1418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12 6</w:t>
            </w:r>
            <w:r>
              <w:rPr>
                <w:lang w:val="uk-UA"/>
              </w:rPr>
              <w:t>50,0</w:t>
            </w:r>
          </w:p>
        </w:tc>
        <w:tc>
          <w:tcPr>
            <w:tcW w:w="2551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44 048,5</w:t>
            </w:r>
          </w:p>
        </w:tc>
      </w:tr>
      <w:tr w:rsidR="007E1595" w:rsidTr="00FD342B">
        <w:tc>
          <w:tcPr>
            <w:tcW w:w="426" w:type="dxa"/>
          </w:tcPr>
          <w:p w:rsidR="007E1595" w:rsidRDefault="007E1595" w:rsidP="00FD342B">
            <w:pPr>
              <w:pStyle w:val="aa"/>
              <w:ind w:left="-105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7E1595" w:rsidRPr="00D943C9" w:rsidRDefault="007E1595" w:rsidP="007E1595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 w:rsidRPr="00D943C9">
              <w:rPr>
                <w:rFonts w:eastAsia="Calibri"/>
                <w:bCs/>
                <w:iCs/>
                <w:color w:val="auto"/>
                <w:kern w:val="2"/>
                <w:szCs w:val="28"/>
                <w:lang w:val="uk-UA"/>
                <w14:ligatures w14:val="standardContextual"/>
              </w:rPr>
              <w:t>Довкілля</w:t>
            </w:r>
          </w:p>
        </w:tc>
        <w:tc>
          <w:tcPr>
            <w:tcW w:w="1559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3 2</w:t>
            </w:r>
            <w:r>
              <w:rPr>
                <w:lang w:val="uk-UA"/>
              </w:rPr>
              <w:t>00,0</w:t>
            </w:r>
          </w:p>
        </w:tc>
        <w:tc>
          <w:tcPr>
            <w:tcW w:w="1559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2 70</w:t>
            </w:r>
            <w:r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3 2</w:t>
            </w:r>
            <w:r>
              <w:rPr>
                <w:lang w:val="uk-UA"/>
              </w:rPr>
              <w:t>00,0</w:t>
            </w:r>
          </w:p>
        </w:tc>
        <w:tc>
          <w:tcPr>
            <w:tcW w:w="2551" w:type="dxa"/>
          </w:tcPr>
          <w:p w:rsidR="007E1595" w:rsidRDefault="007E1595" w:rsidP="007E1595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9 10</w:t>
            </w:r>
            <w:r>
              <w:rPr>
                <w:lang w:val="uk-UA"/>
              </w:rPr>
              <w:t>0,0</w:t>
            </w:r>
          </w:p>
        </w:tc>
      </w:tr>
      <w:tr w:rsidR="007E1595" w:rsidTr="00FD342B">
        <w:tc>
          <w:tcPr>
            <w:tcW w:w="426" w:type="dxa"/>
          </w:tcPr>
          <w:p w:rsidR="007E1595" w:rsidRPr="00191AC3" w:rsidRDefault="007E1595" w:rsidP="00FD342B">
            <w:pPr>
              <w:pStyle w:val="aa"/>
              <w:ind w:left="-105" w:right="-87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7E1595" w:rsidRPr="00D943C9" w:rsidRDefault="007E1595" w:rsidP="007E1595">
            <w:pP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uk-UA"/>
                <w14:ligatures w14:val="standardContextual"/>
              </w:rPr>
              <w:t>Загальний результат</w:t>
            </w:r>
          </w:p>
        </w:tc>
        <w:tc>
          <w:tcPr>
            <w:tcW w:w="1559" w:type="dxa"/>
          </w:tcPr>
          <w:p w:rsidR="007E1595" w:rsidRPr="00191AC3" w:rsidRDefault="007E1595" w:rsidP="007E1595">
            <w:pPr>
              <w:pStyle w:val="aa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48 948,5</w:t>
            </w:r>
          </w:p>
        </w:tc>
        <w:tc>
          <w:tcPr>
            <w:tcW w:w="1559" w:type="dxa"/>
          </w:tcPr>
          <w:p w:rsidR="007E1595" w:rsidRPr="00191AC3" w:rsidRDefault="007E1595" w:rsidP="007E1595">
            <w:pPr>
              <w:pStyle w:val="aa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21 995,27</w:t>
            </w:r>
          </w:p>
        </w:tc>
        <w:tc>
          <w:tcPr>
            <w:tcW w:w="1418" w:type="dxa"/>
          </w:tcPr>
          <w:p w:rsidR="007E1595" w:rsidRPr="00191AC3" w:rsidRDefault="007E1595" w:rsidP="007E1595">
            <w:pPr>
              <w:pStyle w:val="aa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28 850,0</w:t>
            </w:r>
          </w:p>
        </w:tc>
        <w:tc>
          <w:tcPr>
            <w:tcW w:w="2551" w:type="dxa"/>
          </w:tcPr>
          <w:p w:rsidR="007E1595" w:rsidRPr="00191AC3" w:rsidRDefault="007E1595" w:rsidP="007E1595">
            <w:pPr>
              <w:pStyle w:val="aa"/>
              <w:jc w:val="center"/>
              <w:rPr>
                <w:b/>
                <w:lang w:val="uk-UA"/>
              </w:rPr>
            </w:pPr>
            <w:r w:rsidRPr="00191AC3">
              <w:rPr>
                <w:b/>
                <w:lang w:val="uk-UA"/>
              </w:rPr>
              <w:t>99 793,77</w:t>
            </w:r>
          </w:p>
        </w:tc>
      </w:tr>
    </w:tbl>
    <w:p w:rsidR="003776F4" w:rsidRPr="007E1595" w:rsidRDefault="003776F4" w:rsidP="007E1595">
      <w:pPr>
        <w:spacing w:after="0" w:line="240" w:lineRule="auto"/>
        <w:ind w:firstLine="567"/>
        <w:rPr>
          <w:rFonts w:eastAsia="Calibri"/>
          <w:color w:val="auto"/>
          <w:kern w:val="2"/>
          <w:sz w:val="2"/>
          <w:szCs w:val="2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rPr>
          <w:rFonts w:eastAsia="Calibri"/>
          <w:color w:val="auto"/>
          <w:kern w:val="2"/>
          <w:sz w:val="2"/>
          <w:szCs w:val="2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center"/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i/>
          <w:iCs/>
          <w:color w:val="auto"/>
          <w:kern w:val="2"/>
          <w:szCs w:val="28"/>
          <w:lang w:val="uk-UA"/>
          <w14:ligatures w14:val="standardContextual"/>
        </w:rPr>
        <w:lastRenderedPageBreak/>
        <w:t>Підсумки та перспективи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Середньостроковий план є документом, що формує основу для якісно нового підходу до управління публічними інвестиціями.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Визначення наскрізних стратегічних цілей, узгодження з наявними стратегічними документами, продовження та завершення розпочатих проектів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підтримки в середньостроковому періоді.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проектів та програм, а також формування єдиного</w:t>
      </w:r>
      <w:r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 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проектного портфеля публічних інвестицій громади і галузевих (секторальних) проектних портфелів громади. Підготовка проектів та програм передбачає обов’язкове визначення напряму публічного інвестування у відповідній галузі (секторі), з яким пов’язаний проект чи програма, а також узгодження мети та цілей проекту з таким напрямом.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Оцінка проектів і програм включає оцінку відповідності (скринінг), </w:t>
      </w:r>
      <w:r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</w:t>
      </w: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 Без визначення напрямів для публічного інвестування неможлива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пріоритезація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проектів, які включені до галузевого (секторального) проектного портфеля.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Пріоритезація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проектів здійснюється в межах напряму відповідно до критеріїв </w:t>
      </w:r>
      <w:proofErr w:type="spellStart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пріоритезації</w:t>
      </w:r>
      <w:proofErr w:type="spellEnd"/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>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Calibri"/>
          <w:color w:val="auto"/>
          <w:kern w:val="2"/>
          <w:szCs w:val="28"/>
          <w:lang w:val="uk-UA"/>
          <w14:ligatures w14:val="standardContextual"/>
        </w:rPr>
        <w:t xml:space="preserve"> Таким чином, середньостроковий план слугує не лише орієнтиром для розподілу власних коштів, але і платформою для формування проектного портфеля громади, що дозволяє системно працювати над підготовкою якісних інвестиційних проектів та підвищувати шанс на залучення зовнішніх ресурсів у середньостроковій перспективі.</w:t>
      </w: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ind w:firstLine="567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</w:p>
    <w:p w:rsidR="00D943C9" w:rsidRPr="00D943C9" w:rsidRDefault="00D943C9" w:rsidP="00D943C9">
      <w:pPr>
        <w:spacing w:after="0" w:line="240" w:lineRule="auto"/>
        <w:rPr>
          <w:rFonts w:eastAsia="Times New Roman"/>
          <w:color w:val="auto"/>
          <w:szCs w:val="28"/>
          <w:lang w:val="uk-UA" w:eastAsia="ru-RU"/>
        </w:rPr>
      </w:pPr>
      <w:r w:rsidRPr="00D943C9">
        <w:rPr>
          <w:rFonts w:eastAsia="Times New Roman"/>
          <w:color w:val="auto"/>
          <w:szCs w:val="28"/>
          <w:lang w:val="uk-UA" w:eastAsia="ru-RU"/>
        </w:rPr>
        <w:t xml:space="preserve">Керуючий справами виконавчого </w:t>
      </w:r>
    </w:p>
    <w:p w:rsidR="00D943C9" w:rsidRPr="00D943C9" w:rsidRDefault="00D943C9" w:rsidP="00D943C9">
      <w:pPr>
        <w:spacing w:after="0" w:line="240" w:lineRule="auto"/>
        <w:jc w:val="both"/>
        <w:rPr>
          <w:rFonts w:eastAsia="Calibri"/>
          <w:color w:val="auto"/>
          <w:kern w:val="2"/>
          <w:szCs w:val="28"/>
          <w:lang w:val="uk-UA"/>
          <w14:ligatures w14:val="standardContextual"/>
        </w:rPr>
      </w:pPr>
      <w:r w:rsidRPr="00D943C9">
        <w:rPr>
          <w:rFonts w:eastAsia="Times New Roman"/>
          <w:color w:val="auto"/>
          <w:szCs w:val="28"/>
          <w:lang w:val="uk-UA" w:eastAsia="ru-RU"/>
        </w:rPr>
        <w:t xml:space="preserve">комітету міської ради </w:t>
      </w:r>
      <w:r w:rsidRPr="00D943C9">
        <w:rPr>
          <w:rFonts w:eastAsia="Times New Roman"/>
          <w:color w:val="auto"/>
          <w:szCs w:val="28"/>
          <w:lang w:val="uk-UA" w:eastAsia="ru-RU"/>
        </w:rPr>
        <w:tab/>
      </w:r>
      <w:r w:rsidRPr="00D943C9">
        <w:rPr>
          <w:rFonts w:eastAsia="Times New Roman"/>
          <w:color w:val="auto"/>
          <w:szCs w:val="28"/>
          <w:lang w:val="uk-UA" w:eastAsia="ru-RU"/>
        </w:rPr>
        <w:tab/>
      </w:r>
      <w:r w:rsidRPr="00D943C9">
        <w:rPr>
          <w:rFonts w:eastAsia="Times New Roman"/>
          <w:color w:val="auto"/>
          <w:szCs w:val="28"/>
          <w:lang w:val="uk-UA" w:eastAsia="ru-RU"/>
        </w:rPr>
        <w:tab/>
      </w:r>
      <w:r w:rsidRPr="00D943C9">
        <w:rPr>
          <w:rFonts w:eastAsia="Times New Roman"/>
          <w:color w:val="auto"/>
          <w:szCs w:val="28"/>
          <w:lang w:val="uk-UA" w:eastAsia="ru-RU"/>
        </w:rPr>
        <w:tab/>
      </w:r>
      <w:r w:rsidRPr="00D943C9">
        <w:rPr>
          <w:rFonts w:eastAsia="Times New Roman"/>
          <w:color w:val="auto"/>
          <w:szCs w:val="28"/>
          <w:lang w:val="uk-UA" w:eastAsia="ru-RU"/>
        </w:rPr>
        <w:tab/>
      </w:r>
      <w:r w:rsidRPr="00D943C9">
        <w:rPr>
          <w:rFonts w:eastAsia="Times New Roman"/>
          <w:color w:val="auto"/>
          <w:szCs w:val="28"/>
          <w:lang w:val="uk-UA" w:eastAsia="ru-RU"/>
        </w:rPr>
        <w:tab/>
      </w:r>
      <w:r w:rsidRPr="00D943C9">
        <w:rPr>
          <w:rFonts w:eastAsia="Times New Roman"/>
          <w:color w:val="auto"/>
          <w:szCs w:val="28"/>
          <w:lang w:val="uk-UA" w:eastAsia="ru-RU"/>
        </w:rPr>
        <w:tab/>
        <w:t xml:space="preserve">Сергій </w:t>
      </w:r>
      <w:proofErr w:type="spellStart"/>
      <w:r w:rsidRPr="00D943C9">
        <w:rPr>
          <w:rFonts w:eastAsia="Times New Roman"/>
          <w:color w:val="auto"/>
          <w:szCs w:val="28"/>
          <w:lang w:val="uk-UA" w:eastAsia="ru-RU"/>
        </w:rPr>
        <w:t>ПОЛИВОДА</w:t>
      </w:r>
      <w:proofErr w:type="spellEnd"/>
    </w:p>
    <w:p w:rsidR="00F77325" w:rsidRPr="00D943C9" w:rsidRDefault="00F77325">
      <w:pPr>
        <w:rPr>
          <w:lang w:val="ru-RU"/>
        </w:rPr>
      </w:pPr>
    </w:p>
    <w:sectPr w:rsidR="00F77325" w:rsidRPr="00D943C9" w:rsidSect="001D75DD">
      <w:headerReference w:type="default" r:id="rId6"/>
      <w:pgSz w:w="11906" w:h="16838" w:code="9"/>
      <w:pgMar w:top="1134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0E" w:rsidRDefault="00BD0D0E" w:rsidP="00D943C9">
      <w:pPr>
        <w:spacing w:after="0" w:line="240" w:lineRule="auto"/>
      </w:pPr>
      <w:r>
        <w:separator/>
      </w:r>
    </w:p>
  </w:endnote>
  <w:endnote w:type="continuationSeparator" w:id="0">
    <w:p w:rsidR="00BD0D0E" w:rsidRDefault="00BD0D0E" w:rsidP="00D9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0E" w:rsidRDefault="00BD0D0E" w:rsidP="00D943C9">
      <w:pPr>
        <w:spacing w:after="0" w:line="240" w:lineRule="auto"/>
      </w:pPr>
      <w:r>
        <w:separator/>
      </w:r>
    </w:p>
  </w:footnote>
  <w:footnote w:type="continuationSeparator" w:id="0">
    <w:p w:rsidR="00BD0D0E" w:rsidRDefault="00BD0D0E" w:rsidP="00D9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462616353"/>
      <w:docPartObj>
        <w:docPartGallery w:val="Page Numbers (Top of Page)"/>
        <w:docPartUnique/>
      </w:docPartObj>
    </w:sdtPr>
    <w:sdtEndPr/>
    <w:sdtContent>
      <w:p w:rsidR="00D96F4C" w:rsidRPr="00D943C9" w:rsidRDefault="00BD0D0E" w:rsidP="00D943C9">
        <w:pPr>
          <w:pStyle w:val="10"/>
          <w:jc w:val="center"/>
          <w:rPr>
            <w:sz w:val="24"/>
            <w:szCs w:val="24"/>
          </w:rPr>
        </w:pPr>
        <w:r w:rsidRPr="00D943C9">
          <w:rPr>
            <w:sz w:val="24"/>
            <w:szCs w:val="24"/>
          </w:rPr>
          <w:fldChar w:fldCharType="begin"/>
        </w:r>
        <w:r w:rsidRPr="00D943C9">
          <w:rPr>
            <w:sz w:val="24"/>
            <w:szCs w:val="24"/>
          </w:rPr>
          <w:instrText>PAGE   \* MERGEFORMAT</w:instrText>
        </w:r>
        <w:r w:rsidRPr="00D943C9">
          <w:rPr>
            <w:sz w:val="24"/>
            <w:szCs w:val="24"/>
          </w:rPr>
          <w:fldChar w:fldCharType="separate"/>
        </w:r>
        <w:r w:rsidR="007F57B2" w:rsidRPr="007F57B2">
          <w:rPr>
            <w:noProof/>
            <w:sz w:val="24"/>
            <w:szCs w:val="24"/>
            <w:lang w:val="ru-RU"/>
          </w:rPr>
          <w:t>5</w:t>
        </w:r>
        <w:r w:rsidRPr="00D943C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C9"/>
    <w:rsid w:val="000E4E74"/>
    <w:rsid w:val="00117309"/>
    <w:rsid w:val="00191AC3"/>
    <w:rsid w:val="00236545"/>
    <w:rsid w:val="002726C1"/>
    <w:rsid w:val="003776F4"/>
    <w:rsid w:val="00453F9B"/>
    <w:rsid w:val="007B0DDF"/>
    <w:rsid w:val="007E1595"/>
    <w:rsid w:val="007F57B2"/>
    <w:rsid w:val="008143DD"/>
    <w:rsid w:val="00835D77"/>
    <w:rsid w:val="008D51E4"/>
    <w:rsid w:val="00B87763"/>
    <w:rsid w:val="00BD0D0E"/>
    <w:rsid w:val="00D943C9"/>
    <w:rsid w:val="00EE442C"/>
    <w:rsid w:val="00F5398D"/>
    <w:rsid w:val="00F77325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A46D"/>
  <w15:chartTrackingRefBased/>
  <w15:docId w15:val="{0D22F031-8A30-4499-86E2-C2641C96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943C9"/>
    <w:pPr>
      <w:spacing w:after="0" w:line="240" w:lineRule="auto"/>
    </w:pPr>
    <w:rPr>
      <w:color w:val="auto"/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D943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D943C9"/>
  </w:style>
  <w:style w:type="table" w:styleId="a3">
    <w:name w:val="Table Grid"/>
    <w:basedOn w:val="a1"/>
    <w:uiPriority w:val="39"/>
    <w:rsid w:val="00D9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D943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rsid w:val="00D943C9"/>
  </w:style>
  <w:style w:type="paragraph" w:styleId="a6">
    <w:name w:val="footer"/>
    <w:basedOn w:val="a"/>
    <w:link w:val="a7"/>
    <w:uiPriority w:val="99"/>
    <w:unhideWhenUsed/>
    <w:rsid w:val="00D943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3C9"/>
  </w:style>
  <w:style w:type="paragraph" w:styleId="a8">
    <w:name w:val="Balloon Text"/>
    <w:basedOn w:val="a"/>
    <w:link w:val="a9"/>
    <w:uiPriority w:val="99"/>
    <w:semiHidden/>
    <w:unhideWhenUsed/>
    <w:rsid w:val="007B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0DD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B0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Serhei</dc:creator>
  <cp:keywords/>
  <dc:description/>
  <cp:lastModifiedBy>Serhei</cp:lastModifiedBy>
  <cp:revision>3</cp:revision>
  <cp:lastPrinted>2025-09-03T06:56:00Z</cp:lastPrinted>
  <dcterms:created xsi:type="dcterms:W3CDTF">2025-09-03T06:57:00Z</dcterms:created>
  <dcterms:modified xsi:type="dcterms:W3CDTF">2025-09-03T06:58:00Z</dcterms:modified>
</cp:coreProperties>
</file>